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第四届财经发展论坛（原长三角财税论坛）</w:t>
      </w:r>
    </w:p>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会议主题：推进供给侧结构性改革的财税政策</w:t>
      </w:r>
    </w:p>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会议预报名通知</w:t>
      </w:r>
    </w:p>
    <w:p>
      <w:pPr>
        <w:widowControl w:val="0"/>
        <w:autoSpaceDE w:val="0"/>
        <w:autoSpaceDN w:val="0"/>
        <w:adjustRightInd w:val="0"/>
        <w:spacing w:line="500" w:lineRule="exact"/>
        <w:ind w:firstLine="480" w:firstLineChars="200"/>
        <w:jc w:val="both"/>
        <w:rPr>
          <w:rFonts w:ascii="仿宋_GB2312" w:hAnsi="Times New Roman" w:eastAsia="仿宋_GB2312"/>
          <w:lang w:eastAsia="zh-CN"/>
        </w:rPr>
      </w:pPr>
      <w:r>
        <w:rPr>
          <w:rFonts w:ascii="仿宋_GB2312" w:hAnsi="Times New Roman" w:eastAsia="仿宋_GB2312"/>
          <w:lang w:eastAsia="zh-CN"/>
        </w:rPr>
        <w:t>为深入推进财税政策助力供给侧结构性改革</w:t>
      </w:r>
      <w:r>
        <w:rPr>
          <w:rFonts w:hint="eastAsia" w:ascii="仿宋_GB2312" w:hAnsi="Times New Roman" w:eastAsia="仿宋_GB2312"/>
          <w:lang w:eastAsia="zh-CN"/>
        </w:rPr>
        <w:t>，实施创新驱动战略，实现产业结构的合理优化，助推经济发展新模式新动能，上海财经大学中国公共财政研究院联合人民日报《人民周刊》，拟于2017年11月25日在上海市举办第四届“财经发展论坛”。本次论坛的前身为“长三角财税论坛”，由上海财经大学中国公共财政研究院、上海市财政局、上海市税务局、浙江省国税局、浙江省财政厅、江苏省财政厅以及江苏省地税局作为联合发起方，已于2014年至2016年分别在上海，杭州，南通成功举办三届，得到了很好的社会反响。</w:t>
      </w:r>
    </w:p>
    <w:p>
      <w:pPr>
        <w:widowControl w:val="0"/>
        <w:autoSpaceDE w:val="0"/>
        <w:autoSpaceDN w:val="0"/>
        <w:adjustRightInd w:val="0"/>
        <w:spacing w:line="50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本次论坛拟邀请来自人民日报社、全国人大预工委、财政部、国家税务总局、各地方财税部门领导和财税界的专家学者。会议将重点讨论推进供给侧结构性改革的财税政策。</w:t>
      </w:r>
    </w:p>
    <w:p>
      <w:pPr>
        <w:widowControl w:val="0"/>
        <w:autoSpaceDE w:val="0"/>
        <w:autoSpaceDN w:val="0"/>
        <w:adjustRightInd w:val="0"/>
        <w:spacing w:line="50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报名参会人员可在以下三个分主题框架内自行选题进行论文提交，入选论文将由组委会发会议嘉宾邀请通知，并将结集出版，此外对于组委会评定的优秀论文，组委会将向国际国内知名期刊推荐。</w:t>
      </w:r>
      <w:bookmarkStart w:id="0" w:name="_GoBack"/>
      <w:bookmarkEnd w:id="0"/>
      <w:r>
        <w:rPr>
          <w:rFonts w:hint="eastAsia" w:ascii="仿宋_GB2312" w:hAnsi="Times New Roman" w:eastAsia="仿宋_GB2312"/>
          <w:lang w:eastAsia="zh-CN"/>
        </w:rPr>
        <w:t>论坛下设三个分主题：</w:t>
      </w:r>
    </w:p>
    <w:p>
      <w:pPr>
        <w:pStyle w:val="14"/>
        <w:numPr>
          <w:ilvl w:val="0"/>
          <w:numId w:val="1"/>
        </w:numPr>
        <w:spacing w:line="500" w:lineRule="exact"/>
        <w:ind w:firstLineChars="0"/>
        <w:rPr>
          <w:rFonts w:ascii="仿宋_GB2312" w:hAnsi="Times New Roman" w:eastAsia="仿宋_GB2312"/>
          <w:kern w:val="0"/>
          <w:sz w:val="24"/>
          <w:szCs w:val="24"/>
        </w:rPr>
      </w:pPr>
      <w:r>
        <w:rPr>
          <w:rFonts w:hint="eastAsia" w:ascii="仿宋_GB2312" w:hAnsi="Times New Roman" w:eastAsia="仿宋_GB2312"/>
          <w:kern w:val="0"/>
          <w:sz w:val="24"/>
          <w:szCs w:val="24"/>
        </w:rPr>
        <w:t>三次产业结构优化的财税政策</w:t>
      </w:r>
    </w:p>
    <w:p>
      <w:pPr>
        <w:pStyle w:val="14"/>
        <w:numPr>
          <w:ilvl w:val="0"/>
          <w:numId w:val="1"/>
        </w:numPr>
        <w:spacing w:line="500" w:lineRule="exact"/>
        <w:ind w:firstLineChars="0"/>
        <w:rPr>
          <w:rFonts w:ascii="仿宋_GB2312" w:hAnsi="Times New Roman" w:eastAsia="仿宋_GB2312"/>
          <w:kern w:val="0"/>
          <w:sz w:val="24"/>
          <w:szCs w:val="24"/>
        </w:rPr>
      </w:pPr>
      <w:r>
        <w:rPr>
          <w:rFonts w:hint="eastAsia" w:ascii="仿宋_GB2312" w:hAnsi="Times New Roman" w:eastAsia="仿宋_GB2312"/>
          <w:kern w:val="0"/>
          <w:sz w:val="24"/>
          <w:szCs w:val="24"/>
        </w:rPr>
        <w:t>实施创新驱动战略的财税政策</w:t>
      </w:r>
    </w:p>
    <w:p>
      <w:pPr>
        <w:pStyle w:val="14"/>
        <w:numPr>
          <w:ilvl w:val="0"/>
          <w:numId w:val="1"/>
        </w:numPr>
        <w:spacing w:line="500" w:lineRule="exact"/>
        <w:ind w:firstLineChars="0"/>
        <w:rPr>
          <w:rFonts w:ascii="仿宋_GB2312" w:hAnsi="Times New Roman" w:eastAsia="仿宋_GB2312"/>
          <w:kern w:val="0"/>
          <w:sz w:val="24"/>
          <w:szCs w:val="24"/>
        </w:rPr>
      </w:pPr>
      <w:r>
        <w:rPr>
          <w:rFonts w:hint="eastAsia" w:ascii="仿宋_GB2312" w:hAnsi="Times New Roman" w:eastAsia="仿宋_GB2312"/>
          <w:kern w:val="0"/>
          <w:sz w:val="24"/>
          <w:szCs w:val="24"/>
        </w:rPr>
        <w:t>供给侧结构性改革实现路径的财税政策</w:t>
      </w:r>
    </w:p>
    <w:p>
      <w:pPr>
        <w:widowControl w:val="0"/>
        <w:autoSpaceDE w:val="0"/>
        <w:autoSpaceDN w:val="0"/>
        <w:adjustRightInd w:val="0"/>
        <w:spacing w:line="50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我们诚挚欢迎对以上讨论题目以及其他与供给侧结构性改革的财税政策问题相关话题感兴趣的专家、学者、实务部门工作者及相关领域博士生参加本次会议的讨论，为供给侧结构性改革的财税政策创新出谋划策。</w:t>
      </w:r>
    </w:p>
    <w:tbl>
      <w:tblPr>
        <w:tblStyle w:val="10"/>
        <w:tblW w:w="8856" w:type="dxa"/>
        <w:tblInd w:w="0" w:type="dxa"/>
        <w:tblLayout w:type="fixed"/>
        <w:tblCellMar>
          <w:top w:w="0" w:type="dxa"/>
          <w:left w:w="108" w:type="dxa"/>
          <w:bottom w:w="0" w:type="dxa"/>
          <w:right w:w="108" w:type="dxa"/>
        </w:tblCellMar>
      </w:tblPr>
      <w:tblGrid>
        <w:gridCol w:w="1951"/>
        <w:gridCol w:w="6905"/>
      </w:tblGrid>
      <w:tr>
        <w:tblPrEx>
          <w:tblLayout w:type="fixed"/>
          <w:tblCellMar>
            <w:top w:w="0" w:type="dxa"/>
            <w:left w:w="108" w:type="dxa"/>
            <w:bottom w:w="0" w:type="dxa"/>
            <w:right w:w="108" w:type="dxa"/>
          </w:tblCellMar>
        </w:tblPrEx>
        <w:tc>
          <w:tcPr>
            <w:tcW w:w="1951" w:type="dxa"/>
            <w:shd w:val="clear" w:color="auto" w:fill="auto"/>
          </w:tcPr>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b/>
                <w:lang w:eastAsia="zh-CN"/>
              </w:rPr>
              <w:t>主办单位 ：</w:t>
            </w:r>
          </w:p>
        </w:tc>
        <w:tc>
          <w:tcPr>
            <w:tcW w:w="6905" w:type="dxa"/>
            <w:shd w:val="clear" w:color="auto" w:fill="auto"/>
          </w:tcPr>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上海财经大学中国公共财政研究院</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人民日报《人民周刊》杂志社</w:t>
            </w:r>
          </w:p>
        </w:tc>
      </w:tr>
      <w:tr>
        <w:tblPrEx>
          <w:tblLayout w:type="fixed"/>
          <w:tblCellMar>
            <w:top w:w="0" w:type="dxa"/>
            <w:left w:w="108" w:type="dxa"/>
            <w:bottom w:w="0" w:type="dxa"/>
            <w:right w:w="108" w:type="dxa"/>
          </w:tblCellMar>
        </w:tblPrEx>
        <w:tc>
          <w:tcPr>
            <w:tcW w:w="1951" w:type="dxa"/>
            <w:shd w:val="clear" w:color="auto" w:fill="auto"/>
          </w:tcPr>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b/>
                <w:lang w:eastAsia="zh-CN"/>
              </w:rPr>
              <w:t>承办单位：</w:t>
            </w:r>
          </w:p>
        </w:tc>
        <w:tc>
          <w:tcPr>
            <w:tcW w:w="6905" w:type="dxa"/>
            <w:shd w:val="clear" w:color="auto" w:fill="auto"/>
          </w:tcPr>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上海财经大学公共经济与管理学院</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上海财经大学中国财经发展研究中心</w:t>
            </w:r>
          </w:p>
        </w:tc>
      </w:tr>
      <w:tr>
        <w:tblPrEx>
          <w:tblLayout w:type="fixed"/>
          <w:tblCellMar>
            <w:top w:w="0" w:type="dxa"/>
            <w:left w:w="108" w:type="dxa"/>
            <w:bottom w:w="0" w:type="dxa"/>
            <w:right w:w="108" w:type="dxa"/>
          </w:tblCellMar>
        </w:tblPrEx>
        <w:tc>
          <w:tcPr>
            <w:tcW w:w="1951" w:type="dxa"/>
            <w:shd w:val="clear" w:color="auto" w:fill="auto"/>
          </w:tcPr>
          <w:p>
            <w:pPr>
              <w:widowControl w:val="0"/>
              <w:autoSpaceDE w:val="0"/>
              <w:autoSpaceDN w:val="0"/>
              <w:adjustRightInd w:val="0"/>
              <w:spacing w:line="500" w:lineRule="exact"/>
              <w:jc w:val="both"/>
              <w:rPr>
                <w:rFonts w:ascii="仿宋_GB2312" w:hAnsi="Times New Roman" w:eastAsia="仿宋_GB2312"/>
                <w:b/>
                <w:lang w:eastAsia="zh-CN"/>
              </w:rPr>
            </w:pPr>
            <w:r>
              <w:rPr>
                <w:rFonts w:hint="eastAsia" w:ascii="仿宋_GB2312" w:hAnsi="Times New Roman" w:eastAsia="仿宋_GB2312"/>
                <w:b/>
                <w:lang w:eastAsia="zh-CN"/>
              </w:rPr>
              <w:t>媒体合作：</w:t>
            </w:r>
          </w:p>
        </w:tc>
        <w:tc>
          <w:tcPr>
            <w:tcW w:w="6905" w:type="dxa"/>
            <w:shd w:val="clear" w:color="auto" w:fill="auto"/>
          </w:tcPr>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人民日报社</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上海第一财经传媒有限公司</w:t>
            </w:r>
          </w:p>
        </w:tc>
      </w:tr>
    </w:tbl>
    <w:p>
      <w:pPr>
        <w:spacing w:line="500" w:lineRule="exact"/>
        <w:jc w:val="both"/>
        <w:rPr>
          <w:rFonts w:ascii="Times New Roman" w:hAnsi="Times New Roman" w:eastAsia="楷体"/>
          <w:lang w:eastAsia="zh-CN"/>
        </w:rPr>
      </w:pP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请通过以下方式与大会秘书处联系：上海财经大学中国公共财政研究院   200433</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联系人：刘詠贺、张牧扬</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电话：021-65908960、021-65908839</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Email: cipf@mail.shufe.edu.cn</w:t>
      </w: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论文投稿截止日期：2017年10月20日</w:t>
      </w:r>
    </w:p>
    <w:p>
      <w:pPr>
        <w:widowControl w:val="0"/>
        <w:autoSpaceDE w:val="0"/>
        <w:autoSpaceDN w:val="0"/>
        <w:adjustRightInd w:val="0"/>
        <w:spacing w:line="500" w:lineRule="exact"/>
        <w:jc w:val="both"/>
        <w:rPr>
          <w:rFonts w:ascii="仿宋_GB2312" w:hAnsi="Times New Roman" w:eastAsia="仿宋_GB2312"/>
          <w:lang w:eastAsia="zh-CN"/>
        </w:rPr>
      </w:pPr>
      <w:r>
        <w:rPr>
          <w:rFonts w:ascii="仿宋_GB2312" w:hAnsi="Times New Roman" w:eastAsia="仿宋_GB2312"/>
          <w:lang w:eastAsia="zh-CN"/>
        </w:rPr>
        <w:t>本次会议不收取会务费</w:t>
      </w:r>
      <w:r>
        <w:rPr>
          <w:rFonts w:hint="eastAsia" w:ascii="仿宋_GB2312" w:hAnsi="Times New Roman" w:eastAsia="仿宋_GB2312"/>
          <w:lang w:eastAsia="zh-CN"/>
        </w:rPr>
        <w:t>，</w:t>
      </w:r>
      <w:r>
        <w:rPr>
          <w:rFonts w:ascii="仿宋_GB2312" w:hAnsi="Times New Roman" w:eastAsia="仿宋_GB2312"/>
          <w:lang w:eastAsia="zh-CN"/>
        </w:rPr>
        <w:t>主办方负责会议资料和用餐费用</w:t>
      </w:r>
      <w:r>
        <w:rPr>
          <w:rFonts w:hint="eastAsia" w:ascii="仿宋_GB2312" w:hAnsi="Times New Roman" w:eastAsia="仿宋_GB2312"/>
          <w:lang w:eastAsia="zh-CN"/>
        </w:rPr>
        <w:t>，</w:t>
      </w:r>
      <w:r>
        <w:rPr>
          <w:rFonts w:ascii="仿宋_GB2312" w:hAnsi="Times New Roman" w:eastAsia="仿宋_GB2312"/>
          <w:lang w:eastAsia="zh-CN"/>
        </w:rPr>
        <w:t>住宿和差旅费用由参会人员自行承担</w:t>
      </w:r>
      <w:r>
        <w:rPr>
          <w:rFonts w:hint="eastAsia" w:ascii="仿宋_GB2312" w:hAnsi="Times New Roman" w:eastAsia="仿宋_GB2312"/>
          <w:lang w:eastAsia="zh-CN"/>
        </w:rPr>
        <w:t>，</w:t>
      </w:r>
      <w:r>
        <w:rPr>
          <w:rFonts w:ascii="仿宋_GB2312" w:hAnsi="Times New Roman" w:eastAsia="仿宋_GB2312"/>
          <w:lang w:eastAsia="zh-CN"/>
        </w:rPr>
        <w:t>主办方可协助预定宾馆</w:t>
      </w:r>
      <w:r>
        <w:rPr>
          <w:rFonts w:hint="eastAsia" w:ascii="仿宋_GB2312" w:hAnsi="Times New Roman" w:eastAsia="仿宋_GB2312"/>
          <w:lang w:eastAsia="zh-CN"/>
        </w:rPr>
        <w:t>。</w:t>
      </w:r>
    </w:p>
    <w:p>
      <w:pPr>
        <w:widowControl w:val="0"/>
        <w:autoSpaceDE w:val="0"/>
        <w:autoSpaceDN w:val="0"/>
        <w:adjustRightInd w:val="0"/>
        <w:spacing w:line="500" w:lineRule="exact"/>
        <w:jc w:val="both"/>
        <w:rPr>
          <w:rFonts w:ascii="仿宋_GB2312" w:hAnsi="Times New Roman" w:eastAsia="仿宋_GB2312"/>
          <w:lang w:eastAsia="zh-CN"/>
        </w:rPr>
      </w:pPr>
    </w:p>
    <w:p>
      <w:pPr>
        <w:widowControl w:val="0"/>
        <w:autoSpaceDE w:val="0"/>
        <w:autoSpaceDN w:val="0"/>
        <w:adjustRightInd w:val="0"/>
        <w:spacing w:line="500" w:lineRule="exact"/>
        <w:jc w:val="both"/>
        <w:rPr>
          <w:rFonts w:ascii="仿宋_GB2312" w:hAnsi="Times New Roman" w:eastAsia="仿宋_GB2312"/>
          <w:lang w:eastAsia="zh-CN"/>
        </w:rPr>
      </w:pPr>
      <w:r>
        <w:rPr>
          <w:rFonts w:hint="eastAsia" w:ascii="仿宋_GB2312" w:hAnsi="Times New Roman" w:eastAsia="仿宋_GB2312"/>
          <w:lang w:eastAsia="zh-CN"/>
        </w:rPr>
        <w:t>我们真诚期待您的参与！</w:t>
      </w:r>
    </w:p>
    <w:p>
      <w:pPr>
        <w:widowControl w:val="0"/>
        <w:autoSpaceDE w:val="0"/>
        <w:autoSpaceDN w:val="0"/>
        <w:adjustRightInd w:val="0"/>
        <w:spacing w:line="500" w:lineRule="exact"/>
        <w:jc w:val="both"/>
        <w:rPr>
          <w:rFonts w:ascii="仿宋_GB2312" w:hAnsi="Times New Roman" w:eastAsia="仿宋_GB2312"/>
          <w:lang w:eastAsia="zh-CN"/>
        </w:rPr>
      </w:pPr>
    </w:p>
    <w:p>
      <w:pPr>
        <w:widowControl w:val="0"/>
        <w:autoSpaceDE w:val="0"/>
        <w:autoSpaceDN w:val="0"/>
        <w:adjustRightInd w:val="0"/>
        <w:spacing w:line="500" w:lineRule="exact"/>
        <w:ind w:left="3600" w:hanging="3600" w:hangingChars="1500"/>
        <w:jc w:val="right"/>
        <w:rPr>
          <w:rFonts w:ascii="仿宋_GB2312" w:hAnsi="Times New Roman" w:eastAsia="仿宋_GB2312"/>
          <w:lang w:eastAsia="zh-CN"/>
        </w:rPr>
      </w:pPr>
      <w:r>
        <w:rPr>
          <w:rFonts w:hint="eastAsia" w:ascii="仿宋_GB2312" w:hAnsi="Times New Roman" w:eastAsia="仿宋_GB2312"/>
          <w:lang w:eastAsia="zh-CN"/>
        </w:rPr>
        <w:t xml:space="preserve">第四届 “财经发展论坛”筹备组 </w:t>
      </w:r>
    </w:p>
    <w:p>
      <w:pPr>
        <w:widowControl w:val="0"/>
        <w:autoSpaceDE w:val="0"/>
        <w:autoSpaceDN w:val="0"/>
        <w:adjustRightInd w:val="0"/>
        <w:spacing w:line="500" w:lineRule="exact"/>
        <w:ind w:firstLine="5520" w:firstLineChars="2300"/>
        <w:jc w:val="right"/>
        <w:rPr>
          <w:rFonts w:ascii="仿宋_GB2312" w:hAnsi="Times New Roman" w:eastAsia="仿宋_GB2312"/>
          <w:lang w:eastAsia="zh-CN"/>
        </w:rPr>
      </w:pPr>
      <w:r>
        <w:rPr>
          <w:rFonts w:hint="eastAsia" w:ascii="仿宋_GB2312" w:hAnsi="Times New Roman" w:eastAsia="仿宋_GB2312"/>
          <w:lang w:eastAsia="zh-CN"/>
        </w:rPr>
        <w:t xml:space="preserve">2017年9月14日 </w:t>
      </w:r>
    </w:p>
    <w:p>
      <w:pPr>
        <w:spacing w:line="500" w:lineRule="exact"/>
        <w:jc w:val="both"/>
        <w:rPr>
          <w:rFonts w:ascii="仿宋_GB2312" w:hAnsi="Times New Roman" w:eastAsia="仿宋_GB2312"/>
          <w:lang w:eastAsia="zh-CN"/>
        </w:rPr>
      </w:pPr>
      <w:r>
        <w:rPr>
          <w:rFonts w:hint="eastAsia" w:ascii="仿宋_GB2312" w:hAnsi="Times New Roman" w:eastAsia="仿宋_GB2312"/>
          <w:lang w:eastAsia="zh-CN"/>
        </w:rPr>
        <w:t>附件一：拟邀请嘉宾名单</w:t>
      </w:r>
    </w:p>
    <w:p>
      <w:pPr>
        <w:spacing w:line="500" w:lineRule="exact"/>
        <w:jc w:val="both"/>
        <w:rPr>
          <w:rFonts w:ascii="仿宋_GB2312" w:hAnsi="Times New Roman" w:eastAsia="仿宋_GB2312"/>
          <w:lang w:eastAsia="zh-CN"/>
        </w:rPr>
      </w:pPr>
      <w:r>
        <w:rPr>
          <w:rFonts w:hint="eastAsia" w:ascii="仿宋_GB2312" w:hAnsi="Times New Roman" w:eastAsia="仿宋_GB2312"/>
          <w:lang w:eastAsia="zh-CN"/>
        </w:rPr>
        <w:t>附件二：主办单位简介</w:t>
      </w:r>
    </w:p>
    <w:p>
      <w:pPr>
        <w:spacing w:line="500" w:lineRule="exact"/>
        <w:jc w:val="both"/>
        <w:rPr>
          <w:rFonts w:ascii="仿宋_GB2312" w:hAnsi="Times New Roman" w:eastAsia="仿宋_GB2312"/>
          <w:lang w:eastAsia="zh-CN"/>
        </w:rPr>
      </w:pPr>
      <w:r>
        <w:rPr>
          <w:rFonts w:hint="eastAsia" w:ascii="仿宋_GB2312" w:hAnsi="Times New Roman" w:eastAsia="仿宋_GB2312"/>
          <w:lang w:eastAsia="zh-CN"/>
        </w:rPr>
        <w:t>附件三：论文提交指南</w:t>
      </w:r>
    </w:p>
    <w:p>
      <w:pPr>
        <w:spacing w:line="500" w:lineRule="exact"/>
        <w:jc w:val="both"/>
        <w:rPr>
          <w:rFonts w:ascii="仿宋_GB2312" w:hAnsi="Times New Roman" w:eastAsia="仿宋_GB2312"/>
          <w:lang w:eastAsia="zh-CN"/>
        </w:rPr>
      </w:pPr>
      <w:r>
        <w:rPr>
          <w:rFonts w:hint="eastAsia" w:ascii="仿宋_GB2312" w:hAnsi="Times New Roman" w:eastAsia="仿宋_GB2312"/>
          <w:lang w:eastAsia="zh-CN"/>
        </w:rPr>
        <w:t>附件四：会议回执</w:t>
      </w:r>
    </w:p>
    <w:p>
      <w:pPr>
        <w:spacing w:line="300" w:lineRule="auto"/>
        <w:rPr>
          <w:rFonts w:ascii="Times New Roman" w:hAnsi="Times New Roman" w:eastAsia="楷体"/>
          <w:b/>
          <w:sz w:val="36"/>
          <w:szCs w:val="36"/>
          <w:lang w:eastAsia="zh-CN"/>
        </w:rPr>
      </w:pPr>
      <w:r>
        <w:rPr>
          <w:rFonts w:ascii="Times New Roman" w:hAnsi="Times New Roman" w:eastAsia="楷体"/>
          <w:b/>
          <w:sz w:val="36"/>
          <w:szCs w:val="36"/>
          <w:lang w:eastAsia="zh-CN"/>
        </w:rPr>
        <w:br w:type="page"/>
      </w:r>
    </w:p>
    <w:p>
      <w:pPr>
        <w:spacing w:line="300" w:lineRule="auto"/>
        <w:rPr>
          <w:rFonts w:ascii="Times New Roman" w:hAnsi="Times New Roman" w:eastAsia="楷体"/>
          <w:b/>
          <w:sz w:val="36"/>
          <w:szCs w:val="36"/>
          <w:shd w:val="pct10" w:color="auto" w:fill="FFFFFF"/>
          <w:lang w:eastAsia="zh-CN"/>
        </w:rPr>
      </w:pPr>
      <w:r>
        <w:rPr>
          <w:rFonts w:hint="eastAsia" w:ascii="Times New Roman" w:hAnsi="Times New Roman" w:eastAsia="楷体"/>
          <w:b/>
          <w:sz w:val="36"/>
          <w:szCs w:val="36"/>
          <w:shd w:val="pct10" w:color="auto" w:fill="FFFFFF"/>
          <w:lang w:eastAsia="zh-CN"/>
        </w:rPr>
        <w:t>附件一</w:t>
      </w:r>
    </w:p>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拟邀请嘉宾名单</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高  强：中国公共财政研究院院长，原全国人大预工委主任、卫生部部长、财政部副部长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姚  胜：全国人大常委会委员，原全国人大预工委副主任</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张首映：人民日报社副总编辑</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徐国乔：财政部中国财政杂志社社长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李绍刚：国家开发银行股份有限公司董事</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过剑飞：上海市财政局局长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马正文：上海市税务局局长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江建平：江苏省地税局局长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徐宇宁：浙江省财政厅厅长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王东伟：河南省财政厅厅长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赵  光：江苏省财政厅副厅长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周广仁：浙江省人大财经委副主任委员，原浙江省国税局局长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高培勇：经济研究所所长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刘尚希：中国财政科学研究院院长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刘剑文：北京大学法学院教授、北京大学</w:t>
      </w:r>
      <w:r>
        <w:rPr>
          <w:rFonts w:ascii="仿宋_GB2312" w:hAnsi="宋体" w:eastAsia="仿宋_GB2312" w:cs="宋体"/>
          <w:color w:val="000000"/>
          <w:lang w:eastAsia="zh-CN"/>
        </w:rPr>
        <w:t>财税法研究中心主任</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雷根强：厦门大学经济学院党委书记、教授</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李  实：北京师范大学中国收入分配研究院执行院长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刘小兵：上海财经大学公共经济与管理学院院长、中国卫生经济学会副会长</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全国人大财经委相关领导</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财政部相关领导</w:t>
      </w:r>
    </w:p>
    <w:p>
      <w:pPr>
        <w:spacing w:line="520" w:lineRule="exact"/>
        <w:rPr>
          <w:rFonts w:ascii="仿宋_GB2312" w:hAnsi="宋体" w:eastAsia="仿宋_GB2312" w:cs="宋体"/>
          <w:color w:val="000000"/>
          <w:lang w:eastAsia="zh-CN"/>
        </w:rPr>
      </w:pPr>
      <w:r>
        <w:rPr>
          <w:rFonts w:hint="eastAsia" w:ascii="仿宋_GB2312" w:hAnsi="宋体" w:eastAsia="仿宋_GB2312" w:cs="宋体"/>
          <w:color w:val="000000"/>
          <w:lang w:eastAsia="zh-CN"/>
        </w:rPr>
        <w:t>国家税务总局相关领导</w:t>
      </w:r>
    </w:p>
    <w:p>
      <w:pPr>
        <w:spacing w:line="300" w:lineRule="auto"/>
        <w:rPr>
          <w:rFonts w:ascii="Times New Roman" w:hAnsi="Times New Roman" w:eastAsia="楷体"/>
          <w:b/>
          <w:sz w:val="36"/>
          <w:szCs w:val="36"/>
          <w:shd w:val="pct10" w:color="auto" w:fill="FFFFFF"/>
          <w:lang w:eastAsia="zh-CN"/>
        </w:rPr>
      </w:pPr>
      <w:r>
        <w:rPr>
          <w:rFonts w:hint="eastAsia" w:ascii="Times New Roman" w:hAnsi="Times New Roman" w:eastAsia="楷体"/>
          <w:b/>
          <w:sz w:val="36"/>
          <w:szCs w:val="36"/>
          <w:shd w:val="pct10" w:color="auto" w:fill="FFFFFF"/>
          <w:lang w:eastAsia="zh-CN"/>
        </w:rPr>
        <w:t>附件二</w:t>
      </w:r>
    </w:p>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上海财经大学中国公共财政研究院</w:t>
      </w:r>
    </w:p>
    <w:p>
      <w:pPr>
        <w:spacing w:line="560" w:lineRule="exact"/>
        <w:ind w:firstLine="480" w:firstLineChars="200"/>
        <w:rPr>
          <w:rFonts w:ascii="仿宋_GB2312" w:hAnsi="宋体" w:eastAsia="仿宋_GB2312" w:cs="宋体"/>
          <w:color w:val="000000"/>
          <w:lang w:eastAsia="zh-CN"/>
        </w:rPr>
      </w:pPr>
      <w:r>
        <w:rPr>
          <w:rFonts w:hint="eastAsia" w:ascii="仿宋_GB2312" w:hAnsi="宋体" w:eastAsia="仿宋_GB2312" w:cs="宋体"/>
          <w:color w:val="000000"/>
          <w:lang w:eastAsia="zh-CN"/>
        </w:rPr>
        <w:t>上海财经大学中国公共财政研究院（以下简称研究院）作为一个专门以公共财政建设为主题的研究机构，它是就上海财经大学公共经济与管理学院下属的公共政策研究中心（成立于1998年）、中国教育支出绩效评价（研究）中心、公共治理研究中心、实证分析与调查研究中心、卫生政策与管理研究中心、社会保障研究中心、资产评估中心、资源环境政策与管理研究所、不动产研究所与投资研究所等与公共财政建设有关的中心（所）等学术资源进行整合而形成的研究机构。</w:t>
      </w:r>
    </w:p>
    <w:p>
      <w:pPr>
        <w:spacing w:line="560" w:lineRule="exact"/>
        <w:ind w:firstLine="480" w:firstLineChars="200"/>
        <w:rPr>
          <w:rFonts w:ascii="仿宋_GB2312" w:hAnsi="宋体" w:eastAsia="仿宋_GB2312" w:cs="宋体"/>
          <w:color w:val="000000"/>
          <w:lang w:eastAsia="zh-CN"/>
        </w:rPr>
      </w:pPr>
      <w:r>
        <w:rPr>
          <w:rFonts w:hint="eastAsia" w:ascii="仿宋_GB2312" w:hAnsi="宋体" w:eastAsia="仿宋_GB2312" w:cs="宋体"/>
          <w:color w:val="000000"/>
          <w:lang w:eastAsia="zh-CN"/>
        </w:rPr>
        <w:t>2012年8月，中国公共财政研究院进一步拓展其研究资源，由上海财经大学公共经济与管理学院、厦门大学经济学院、北京大学法学院、财政部财科所、中国社会科学院财经战略研究院、美国斯坦福大学国际发展中心、日本一桥大学公共政策研究院、江苏省财政厅、江苏省地税局、上海市财政局、上海市税务局、浙江省国家税务局、浙江省财政厅以及北京师范大学收入分配研究院等理事单位共同打造。研究院的首任院长为原全国人大财政经济委员会副主任委员、卫生部部长、财政部副部长高强同志。</w:t>
      </w: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560" w:lineRule="exact"/>
        <w:ind w:firstLine="480" w:firstLineChars="200"/>
        <w:rPr>
          <w:rFonts w:ascii="仿宋_GB2312" w:hAnsi="宋体" w:eastAsia="仿宋_GB2312" w:cs="宋体"/>
          <w:color w:val="000000"/>
          <w:lang w:eastAsia="zh-CN"/>
        </w:rPr>
      </w:pPr>
    </w:p>
    <w:p>
      <w:pPr>
        <w:spacing w:line="300" w:lineRule="auto"/>
        <w:jc w:val="center"/>
        <w:rPr>
          <w:rFonts w:ascii="华文中宋" w:hAnsi="华文中宋" w:eastAsia="华文中宋"/>
          <w:b/>
          <w:sz w:val="32"/>
          <w:szCs w:val="32"/>
          <w:lang w:eastAsia="zh-CN"/>
        </w:rPr>
      </w:pPr>
      <w:r>
        <w:rPr>
          <w:rFonts w:hint="eastAsia" w:ascii="华文中宋" w:hAnsi="华文中宋" w:eastAsia="华文中宋"/>
          <w:b/>
          <w:sz w:val="32"/>
          <w:szCs w:val="32"/>
          <w:lang w:eastAsia="zh-CN"/>
        </w:rPr>
        <w:t>人民日报《人民周刊》</w:t>
      </w:r>
    </w:p>
    <w:p>
      <w:pPr>
        <w:spacing w:line="560" w:lineRule="exact"/>
        <w:ind w:firstLine="480" w:firstLineChars="200"/>
        <w:rPr>
          <w:rFonts w:ascii="仿宋_GB2312" w:hAnsi="宋体" w:eastAsia="仿宋_GB2312" w:cs="宋体"/>
          <w:color w:val="000000"/>
          <w:lang w:eastAsia="zh-CN"/>
        </w:rPr>
      </w:pPr>
      <w:r>
        <w:rPr>
          <w:rFonts w:hint="eastAsia" w:ascii="仿宋_GB2312" w:hAnsi="宋体" w:eastAsia="仿宋_GB2312" w:cs="宋体"/>
          <w:color w:val="000000"/>
          <w:lang w:eastAsia="zh-CN"/>
        </w:rPr>
        <w:t>《人民周刊》是由人民日报社主管的高端时政新闻类期刊。</w:t>
      </w:r>
    </w:p>
    <w:p>
      <w:pPr>
        <w:spacing w:line="560" w:lineRule="exact"/>
        <w:ind w:firstLine="480" w:firstLineChars="200"/>
        <w:rPr>
          <w:rFonts w:ascii="仿宋_GB2312" w:hAnsi="宋体" w:eastAsia="仿宋_GB2312" w:cs="宋体"/>
          <w:color w:val="000000"/>
          <w:lang w:eastAsia="zh-CN"/>
        </w:rPr>
      </w:pPr>
      <w:r>
        <w:rPr>
          <w:rFonts w:hint="eastAsia" w:ascii="仿宋_GB2312" w:hAnsi="宋体" w:eastAsia="仿宋_GB2312" w:cs="宋体"/>
          <w:color w:val="000000"/>
          <w:lang w:eastAsia="zh-CN"/>
        </w:rPr>
        <w:t>《人民周刊》融合多元传播手段和信息要素</w:t>
      </w:r>
      <w:r>
        <w:rPr>
          <w:rFonts w:ascii="仿宋_GB2312" w:hAnsi="宋体" w:eastAsia="仿宋_GB2312" w:cs="宋体"/>
          <w:color w:val="000000"/>
          <w:lang w:eastAsia="zh-CN"/>
        </w:rPr>
        <w:t>,</w:t>
      </w:r>
      <w:r>
        <w:rPr>
          <w:rFonts w:hint="eastAsia" w:ascii="仿宋_GB2312" w:hAnsi="宋体" w:eastAsia="仿宋_GB2312" w:cs="宋体"/>
          <w:color w:val="000000"/>
          <w:lang w:eastAsia="zh-CN"/>
        </w:rPr>
        <w:t>致力于打造“中国思想舆论融合传播的平台、人民日报现代传播体系的窗口、宣传社会主义核心价值观的阵地”。</w:t>
      </w:r>
    </w:p>
    <w:p>
      <w:pPr>
        <w:spacing w:line="560" w:lineRule="exact"/>
        <w:ind w:firstLine="480" w:firstLineChars="200"/>
        <w:rPr>
          <w:rFonts w:ascii="仿宋_GB2312" w:hAnsi="宋体" w:eastAsia="仿宋_GB2312" w:cs="宋体"/>
          <w:color w:val="000000"/>
          <w:lang w:eastAsia="zh-CN"/>
        </w:rPr>
      </w:pPr>
      <w:r>
        <w:rPr>
          <w:rFonts w:hint="eastAsia" w:ascii="仿宋_GB2312" w:hAnsi="宋体" w:eastAsia="仿宋_GB2312" w:cs="宋体"/>
          <w:color w:val="000000"/>
          <w:lang w:eastAsia="zh-CN"/>
        </w:rPr>
        <w:t>《人民周刊》办刊宗旨为：坚持正确的舆论导向和办刊方向，依托《人民日报》信息资源，深度报道国内外一周新闻资讯、时事评论，刊载科学、艺术、人文、历史等方面的精品文章，宣传社会主义核心价值观，凝聚实现中国梦强大力量。</w:t>
      </w:r>
    </w:p>
    <w:p>
      <w:pPr>
        <w:spacing w:line="560" w:lineRule="exact"/>
        <w:ind w:firstLine="480" w:firstLineChars="200"/>
        <w:rPr>
          <w:rFonts w:ascii="Times New Roman" w:hAnsi="Times New Roman" w:eastAsia="楷体"/>
          <w:b/>
          <w:sz w:val="36"/>
          <w:szCs w:val="36"/>
          <w:lang w:eastAsia="zh-CN"/>
        </w:rPr>
      </w:pPr>
      <w:r>
        <w:rPr>
          <w:rFonts w:ascii="仿宋_GB2312" w:hAnsi="宋体" w:eastAsia="仿宋_GB2312" w:cs="宋体"/>
          <w:color w:val="000000"/>
          <w:lang w:eastAsia="zh-CN"/>
        </w:rPr>
        <w:t>“</w:t>
      </w:r>
      <w:r>
        <w:rPr>
          <w:rFonts w:hint="eastAsia" w:ascii="仿宋_GB2312" w:hAnsi="宋体" w:eastAsia="仿宋_GB2312" w:cs="宋体"/>
          <w:color w:val="000000"/>
          <w:lang w:eastAsia="zh-CN"/>
        </w:rPr>
        <w:t>人民有信仰，民族有希望，国家有力量”，《人民周刊》始终践行社会主义核心价值观，凝聚文化力与思想力，全面展示中国主流舆论精粹。每期杂志囊括重点事件、热点问题的主流评论和不同角度分析。同一新闻，不同来源，不同看法，既不失生活厚度，又不失思想高度，观点浸润其间，文化流光溢彩，呈现“思想力量•权威影响”的特色。</w:t>
      </w:r>
      <w:r>
        <w:rPr>
          <w:rFonts w:ascii="Times New Roman" w:hAnsi="Times New Roman" w:eastAsia="楷体"/>
          <w:b/>
          <w:sz w:val="36"/>
          <w:szCs w:val="36"/>
          <w:lang w:eastAsia="zh-CN"/>
        </w:rPr>
        <w:br w:type="page"/>
      </w:r>
      <w:r>
        <w:rPr>
          <w:rFonts w:hint="eastAsia" w:ascii="Times New Roman" w:hAnsi="Times New Roman" w:eastAsia="楷体"/>
          <w:b/>
          <w:sz w:val="36"/>
          <w:szCs w:val="36"/>
          <w:shd w:val="pct10" w:color="auto" w:fill="FFFFFF"/>
          <w:lang w:eastAsia="zh-CN"/>
        </w:rPr>
        <w:t>附件三</w:t>
      </w:r>
    </w:p>
    <w:p>
      <w:pPr>
        <w:widowControl w:val="0"/>
        <w:autoSpaceDE w:val="0"/>
        <w:autoSpaceDN w:val="0"/>
        <w:adjustRightInd w:val="0"/>
        <w:spacing w:line="300" w:lineRule="auto"/>
        <w:jc w:val="center"/>
        <w:rPr>
          <w:rFonts w:ascii="华文中宋" w:hAnsi="华文中宋" w:eastAsia="华文中宋"/>
          <w:b/>
          <w:sz w:val="32"/>
          <w:szCs w:val="32"/>
          <w:lang w:eastAsia="zh-CN"/>
        </w:rPr>
      </w:pPr>
      <w:r>
        <w:rPr>
          <w:rFonts w:ascii="华文中宋" w:hAnsi="华文中宋" w:eastAsia="华文中宋"/>
          <w:b/>
          <w:sz w:val="32"/>
          <w:szCs w:val="32"/>
          <w:lang w:eastAsia="zh-CN"/>
        </w:rPr>
        <w:t>论文提交指南</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 xml:space="preserve">凡遵守下列摘要指南并与大会主题相关的高质量的论文，将由大会秘书处接收，并提供给大会学术委员会审阅。只接受由大会秘书处转交的论文。论文须于2017年10月20日之前交到大会秘书处，邮箱：cipf@mail.shufe.edu.cn。 </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论文要求</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(1)论文题目自拟，围绕“推进供给侧结构性改革的财税政策”的主题开展论述研究。</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（2）论文字数不少于5000字。内容应具有理论前瞻性和重要现实意义。论文应包括：标题，摘要（200～300字），关键字，正文，参考文献。限word或pdf文档电子版，不接收纸质材料。</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（3）论文保证原创性、时效性和创新性，不得存在抄袭等学术不端行为。</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r>
        <w:rPr>
          <w:rFonts w:hint="eastAsia" w:ascii="仿宋_GB2312" w:hAnsi="Times New Roman" w:eastAsia="仿宋_GB2312"/>
          <w:lang w:eastAsia="zh-CN"/>
        </w:rPr>
        <w:t>（4）投稿论文必须为未公开发表，稿件入选与否不影响作者另投他处（经作者同意推荐到公开出版刊物的除外）。</w:t>
      </w: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p>
    <w:p>
      <w:pPr>
        <w:widowControl w:val="0"/>
        <w:autoSpaceDE w:val="0"/>
        <w:autoSpaceDN w:val="0"/>
        <w:adjustRightInd w:val="0"/>
        <w:spacing w:line="560" w:lineRule="exact"/>
        <w:ind w:firstLine="480" w:firstLineChars="200"/>
        <w:jc w:val="both"/>
        <w:rPr>
          <w:rFonts w:ascii="仿宋_GB2312" w:hAnsi="Times New Roman" w:eastAsia="仿宋_GB2312"/>
          <w:lang w:eastAsia="zh-CN"/>
        </w:rPr>
      </w:pPr>
    </w:p>
    <w:p>
      <w:pPr>
        <w:widowControl w:val="0"/>
        <w:autoSpaceDE w:val="0"/>
        <w:autoSpaceDN w:val="0"/>
        <w:adjustRightInd w:val="0"/>
        <w:spacing w:line="300" w:lineRule="auto"/>
        <w:ind w:firstLine="643" w:firstLineChars="200"/>
        <w:jc w:val="both"/>
        <w:rPr>
          <w:rFonts w:ascii="Times New Roman" w:hAnsi="Times New Roman" w:eastAsia="楷体"/>
          <w:b/>
          <w:sz w:val="32"/>
          <w:szCs w:val="32"/>
          <w:lang w:eastAsia="zh-CN"/>
        </w:rPr>
      </w:pPr>
    </w:p>
    <w:p>
      <w:pPr>
        <w:widowControl w:val="0"/>
        <w:autoSpaceDE w:val="0"/>
        <w:autoSpaceDN w:val="0"/>
        <w:adjustRightInd w:val="0"/>
        <w:spacing w:line="300" w:lineRule="auto"/>
        <w:ind w:firstLine="643" w:firstLineChars="200"/>
        <w:jc w:val="both"/>
        <w:rPr>
          <w:rFonts w:ascii="Times New Roman" w:hAnsi="Times New Roman" w:eastAsia="楷体"/>
          <w:b/>
          <w:sz w:val="32"/>
          <w:szCs w:val="32"/>
          <w:lang w:eastAsia="zh-CN"/>
        </w:rPr>
      </w:pPr>
    </w:p>
    <w:p>
      <w:pPr>
        <w:widowControl w:val="0"/>
        <w:autoSpaceDE w:val="0"/>
        <w:autoSpaceDN w:val="0"/>
        <w:adjustRightInd w:val="0"/>
        <w:spacing w:line="300" w:lineRule="auto"/>
        <w:ind w:firstLine="643" w:firstLineChars="200"/>
        <w:jc w:val="both"/>
        <w:rPr>
          <w:rFonts w:ascii="Times New Roman" w:hAnsi="Times New Roman" w:eastAsia="楷体"/>
          <w:b/>
          <w:sz w:val="32"/>
          <w:szCs w:val="32"/>
          <w:lang w:eastAsia="zh-CN"/>
        </w:rPr>
      </w:pPr>
    </w:p>
    <w:p>
      <w:pPr>
        <w:jc w:val="center"/>
        <w:rPr>
          <w:rFonts w:ascii="华文中宋" w:hAnsi="华文中宋" w:eastAsia="华文中宋"/>
          <w:b/>
          <w:sz w:val="32"/>
          <w:szCs w:val="32"/>
          <w:lang w:eastAsia="zh-CN"/>
        </w:rPr>
      </w:pPr>
    </w:p>
    <w:p>
      <w:pPr>
        <w:widowControl w:val="0"/>
        <w:autoSpaceDE w:val="0"/>
        <w:autoSpaceDN w:val="0"/>
        <w:adjustRightInd w:val="0"/>
        <w:spacing w:line="300" w:lineRule="auto"/>
        <w:rPr>
          <w:rFonts w:ascii="Times New Roman" w:hAnsi="Times New Roman" w:eastAsia="楷体"/>
          <w:b/>
          <w:sz w:val="36"/>
          <w:szCs w:val="36"/>
          <w:shd w:val="pct10" w:color="auto" w:fill="FFFFFF"/>
          <w:lang w:eastAsia="zh-CN"/>
        </w:rPr>
      </w:pPr>
      <w:r>
        <w:rPr>
          <w:rFonts w:hint="eastAsia" w:ascii="Times New Roman" w:hAnsi="Times New Roman" w:eastAsia="楷体"/>
          <w:b/>
          <w:sz w:val="36"/>
          <w:szCs w:val="36"/>
          <w:shd w:val="pct10" w:color="auto" w:fill="FFFFFF"/>
          <w:lang w:eastAsia="zh-CN"/>
        </w:rPr>
        <w:t>附件四</w:t>
      </w:r>
    </w:p>
    <w:p>
      <w:pPr>
        <w:jc w:val="center"/>
        <w:rPr>
          <w:rFonts w:ascii="华文中宋" w:hAnsi="华文中宋" w:eastAsia="华文中宋"/>
          <w:b/>
          <w:sz w:val="32"/>
          <w:szCs w:val="32"/>
          <w:lang w:eastAsia="zh-CN"/>
        </w:rPr>
      </w:pPr>
      <w:r>
        <w:rPr>
          <w:rFonts w:ascii="华文中宋" w:hAnsi="华文中宋" w:eastAsia="华文中宋"/>
          <w:b/>
          <w:sz w:val="32"/>
          <w:szCs w:val="32"/>
          <w:lang w:eastAsia="zh-CN"/>
        </w:rPr>
        <w:t>会议回执</w:t>
      </w:r>
    </w:p>
    <w:p>
      <w:pPr>
        <w:jc w:val="center"/>
        <w:rPr>
          <w:rFonts w:ascii="华文中宋" w:hAnsi="华文中宋" w:eastAsia="华文中宋"/>
          <w:b/>
          <w:sz w:val="32"/>
          <w:szCs w:val="32"/>
          <w:lang w:eastAsia="zh-CN"/>
        </w:rPr>
      </w:pPr>
    </w:p>
    <w:tbl>
      <w:tblPr>
        <w:tblStyle w:val="10"/>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6"/>
        <w:gridCol w:w="2694"/>
        <w:gridCol w:w="1572"/>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姓名</w:t>
            </w:r>
          </w:p>
        </w:tc>
        <w:tc>
          <w:tcPr>
            <w:tcW w:w="2694" w:type="dxa"/>
            <w:shd w:val="clear" w:color="auto" w:fill="auto"/>
          </w:tcPr>
          <w:p>
            <w:pPr>
              <w:spacing w:line="300" w:lineRule="auto"/>
              <w:jc w:val="both"/>
              <w:rPr>
                <w:rFonts w:ascii="Times New Roman" w:hAnsi="Times New Roman" w:eastAsia="楷体"/>
              </w:rPr>
            </w:pPr>
          </w:p>
        </w:tc>
        <w:tc>
          <w:tcPr>
            <w:tcW w:w="1572"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性别</w:t>
            </w:r>
          </w:p>
        </w:tc>
        <w:tc>
          <w:tcPr>
            <w:tcW w:w="2214" w:type="dxa"/>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工作单位</w:t>
            </w:r>
          </w:p>
        </w:tc>
        <w:tc>
          <w:tcPr>
            <w:tcW w:w="2694" w:type="dxa"/>
            <w:shd w:val="clear" w:color="auto" w:fill="auto"/>
          </w:tcPr>
          <w:p>
            <w:pPr>
              <w:spacing w:line="300" w:lineRule="auto"/>
              <w:jc w:val="both"/>
              <w:rPr>
                <w:rFonts w:ascii="Times New Roman" w:hAnsi="Times New Roman" w:eastAsia="楷体"/>
              </w:rPr>
            </w:pPr>
          </w:p>
        </w:tc>
        <w:tc>
          <w:tcPr>
            <w:tcW w:w="1572"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职称／职务</w:t>
            </w:r>
          </w:p>
        </w:tc>
        <w:tc>
          <w:tcPr>
            <w:tcW w:w="2214" w:type="dxa"/>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通讯地址</w:t>
            </w:r>
          </w:p>
        </w:tc>
        <w:tc>
          <w:tcPr>
            <w:tcW w:w="2694" w:type="dxa"/>
            <w:shd w:val="clear" w:color="auto" w:fill="auto"/>
          </w:tcPr>
          <w:p>
            <w:pPr>
              <w:spacing w:line="300" w:lineRule="auto"/>
              <w:jc w:val="both"/>
              <w:rPr>
                <w:rFonts w:ascii="Times New Roman" w:hAnsi="Times New Roman" w:eastAsia="楷体"/>
              </w:rPr>
            </w:pPr>
          </w:p>
        </w:tc>
        <w:tc>
          <w:tcPr>
            <w:tcW w:w="1572"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邮政编码</w:t>
            </w:r>
          </w:p>
        </w:tc>
        <w:tc>
          <w:tcPr>
            <w:tcW w:w="2214" w:type="dxa"/>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联系电话</w:t>
            </w:r>
          </w:p>
        </w:tc>
        <w:tc>
          <w:tcPr>
            <w:tcW w:w="2694" w:type="dxa"/>
            <w:shd w:val="clear" w:color="auto" w:fill="auto"/>
          </w:tcPr>
          <w:p>
            <w:pPr>
              <w:spacing w:line="300" w:lineRule="auto"/>
              <w:jc w:val="both"/>
              <w:rPr>
                <w:rFonts w:ascii="Times New Roman" w:hAnsi="Times New Roman" w:eastAsia="楷体"/>
              </w:rPr>
            </w:pPr>
          </w:p>
        </w:tc>
        <w:tc>
          <w:tcPr>
            <w:tcW w:w="1572"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Email地址</w:t>
            </w:r>
          </w:p>
        </w:tc>
        <w:tc>
          <w:tcPr>
            <w:tcW w:w="2214" w:type="dxa"/>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传真</w:t>
            </w:r>
          </w:p>
        </w:tc>
        <w:tc>
          <w:tcPr>
            <w:tcW w:w="2694" w:type="dxa"/>
            <w:shd w:val="clear" w:color="auto" w:fill="auto"/>
          </w:tcPr>
          <w:p>
            <w:pPr>
              <w:spacing w:line="300" w:lineRule="auto"/>
              <w:jc w:val="both"/>
              <w:rPr>
                <w:rFonts w:ascii="Times New Roman" w:hAnsi="Times New Roman" w:eastAsia="楷体"/>
              </w:rPr>
            </w:pPr>
          </w:p>
        </w:tc>
        <w:tc>
          <w:tcPr>
            <w:tcW w:w="1572" w:type="dxa"/>
            <w:shd w:val="clear" w:color="auto" w:fill="auto"/>
          </w:tcPr>
          <w:p>
            <w:pPr>
              <w:spacing w:line="300" w:lineRule="auto"/>
              <w:jc w:val="both"/>
              <w:rPr>
                <w:rFonts w:ascii="Times New Roman" w:hAnsi="Times New Roman" w:eastAsia="楷体"/>
                <w:lang w:eastAsia="zh-CN"/>
              </w:rPr>
            </w:pPr>
            <w:r>
              <w:rPr>
                <w:rFonts w:hint="eastAsia" w:ascii="Times New Roman" w:hAnsi="Times New Roman" w:eastAsia="楷体"/>
                <w:lang w:eastAsia="zh-CN"/>
              </w:rPr>
              <w:t>提交日期</w:t>
            </w:r>
          </w:p>
        </w:tc>
        <w:tc>
          <w:tcPr>
            <w:tcW w:w="2214" w:type="dxa"/>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参会论文题目</w:t>
            </w:r>
          </w:p>
        </w:tc>
        <w:tc>
          <w:tcPr>
            <w:tcW w:w="6480" w:type="dxa"/>
            <w:gridSpan w:val="3"/>
            <w:shd w:val="clear" w:color="auto" w:fill="auto"/>
          </w:tcPr>
          <w:p>
            <w:pPr>
              <w:spacing w:line="300" w:lineRule="auto"/>
              <w:jc w:val="both"/>
              <w:rPr>
                <w:rFonts w:ascii="Times New Roman" w:hAnsi="Times New Roman" w:eastAsia="楷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376" w:type="dxa"/>
            <w:shd w:val="clear" w:color="auto" w:fill="auto"/>
          </w:tcPr>
          <w:p>
            <w:pPr>
              <w:spacing w:line="300" w:lineRule="auto"/>
              <w:jc w:val="both"/>
              <w:rPr>
                <w:rFonts w:ascii="Times New Roman" w:hAnsi="Times New Roman" w:eastAsia="楷体"/>
                <w:lang w:eastAsia="zh-CN"/>
              </w:rPr>
            </w:pPr>
            <w:r>
              <w:rPr>
                <w:rFonts w:ascii="Times New Roman" w:hAnsi="Times New Roman" w:eastAsia="楷体"/>
                <w:lang w:eastAsia="zh-CN"/>
              </w:rPr>
              <w:t>其它</w:t>
            </w:r>
            <w:r>
              <w:rPr>
                <w:rFonts w:hint="eastAsia" w:ascii="Times New Roman" w:hAnsi="Times New Roman" w:eastAsia="楷体"/>
                <w:lang w:eastAsia="zh-CN"/>
              </w:rPr>
              <w:t>要求</w:t>
            </w:r>
            <w:r>
              <w:rPr>
                <w:rFonts w:ascii="Times New Roman" w:hAnsi="Times New Roman" w:eastAsia="楷体"/>
                <w:lang w:eastAsia="zh-CN"/>
              </w:rPr>
              <w:t>或建议</w:t>
            </w:r>
          </w:p>
        </w:tc>
        <w:tc>
          <w:tcPr>
            <w:tcW w:w="6480" w:type="dxa"/>
            <w:gridSpan w:val="3"/>
            <w:shd w:val="clear" w:color="auto" w:fill="auto"/>
          </w:tcPr>
          <w:p>
            <w:pPr>
              <w:spacing w:line="300" w:lineRule="auto"/>
              <w:jc w:val="both"/>
              <w:rPr>
                <w:rFonts w:ascii="Times New Roman" w:hAnsi="Times New Roman" w:eastAsia="楷体"/>
              </w:rPr>
            </w:pPr>
          </w:p>
        </w:tc>
      </w:tr>
    </w:tbl>
    <w:p>
      <w:pPr>
        <w:widowControl w:val="0"/>
        <w:autoSpaceDE w:val="0"/>
        <w:autoSpaceDN w:val="0"/>
        <w:adjustRightInd w:val="0"/>
        <w:spacing w:line="300" w:lineRule="auto"/>
        <w:jc w:val="both"/>
        <w:rPr>
          <w:rFonts w:ascii="Times New Roman" w:hAnsi="Times New Roman" w:eastAsia="楷体"/>
          <w:lang w:eastAsia="zh-CN"/>
        </w:rPr>
      </w:pPr>
    </w:p>
    <w:p>
      <w:pPr>
        <w:widowControl w:val="0"/>
        <w:autoSpaceDE w:val="0"/>
        <w:autoSpaceDN w:val="0"/>
        <w:adjustRightInd w:val="0"/>
        <w:spacing w:line="300" w:lineRule="auto"/>
        <w:jc w:val="right"/>
        <w:rPr>
          <w:rFonts w:ascii="Times New Roman" w:hAnsi="Times New Roman" w:eastAsia="楷体"/>
          <w:lang w:eastAsia="zh-CN"/>
        </w:rPr>
      </w:pPr>
    </w:p>
    <w:p>
      <w:pPr>
        <w:widowControl w:val="0"/>
        <w:autoSpaceDE w:val="0"/>
        <w:autoSpaceDN w:val="0"/>
        <w:adjustRightInd w:val="0"/>
        <w:spacing w:line="300" w:lineRule="auto"/>
        <w:jc w:val="right"/>
        <w:rPr>
          <w:rFonts w:ascii="Times New Roman" w:hAnsi="Times New Roman" w:eastAsia="楷体"/>
          <w:lang w:eastAsia="zh-CN"/>
        </w:rPr>
      </w:pPr>
    </w:p>
    <w:p>
      <w:pPr>
        <w:widowControl w:val="0"/>
        <w:autoSpaceDE w:val="0"/>
        <w:autoSpaceDN w:val="0"/>
        <w:adjustRightInd w:val="0"/>
        <w:spacing w:line="300" w:lineRule="auto"/>
        <w:jc w:val="right"/>
        <w:rPr>
          <w:rFonts w:ascii="Times New Roman" w:hAnsi="Times New Roman" w:eastAsia="楷体"/>
          <w:lang w:eastAsia="zh-CN"/>
        </w:rPr>
      </w:pPr>
      <w:r>
        <w:rPr>
          <w:rFonts w:hint="eastAsia" w:ascii="Times New Roman" w:hAnsi="Times New Roman" w:eastAsia="楷体"/>
          <w:lang w:eastAsia="zh-CN"/>
        </w:rPr>
        <w:t>上海财经大学中国公共财政研究院</w:t>
      </w:r>
    </w:p>
    <w:p>
      <w:pPr>
        <w:widowControl w:val="0"/>
        <w:autoSpaceDE w:val="0"/>
        <w:autoSpaceDN w:val="0"/>
        <w:adjustRightInd w:val="0"/>
        <w:spacing w:line="300" w:lineRule="auto"/>
        <w:jc w:val="right"/>
        <w:rPr>
          <w:rFonts w:ascii="Times New Roman" w:hAnsi="Times New Roman" w:eastAsia="楷体"/>
          <w:lang w:eastAsia="zh-CN"/>
        </w:rPr>
      </w:pPr>
      <w:r>
        <w:rPr>
          <w:rFonts w:hint="eastAsia" w:ascii="Times New Roman" w:hAnsi="Times New Roman" w:eastAsia="楷体"/>
          <w:lang w:eastAsia="zh-CN"/>
        </w:rPr>
        <w:t>2017年9月14日</w:t>
      </w:r>
    </w:p>
    <w:sectPr>
      <w:pgSz w:w="12240" w:h="15840"/>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MS Mincho">
    <w:panose1 w:val="02020609040205080304"/>
    <w:charset w:val="80"/>
    <w:family w:val="modern"/>
    <w:pitch w:val="default"/>
    <w:sig w:usb0="E00002FF" w:usb1="6AC7FDFB" w:usb2="00000012" w:usb3="00000000" w:csb0="400200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0754D"/>
    <w:multiLevelType w:val="multilevel"/>
    <w:tmpl w:val="369075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5F7A2F"/>
    <w:rsid w:val="00021C5A"/>
    <w:rsid w:val="0003493A"/>
    <w:rsid w:val="0006076C"/>
    <w:rsid w:val="00072D39"/>
    <w:rsid w:val="000D2324"/>
    <w:rsid w:val="0010520B"/>
    <w:rsid w:val="00136004"/>
    <w:rsid w:val="001634C1"/>
    <w:rsid w:val="001839E4"/>
    <w:rsid w:val="00196E47"/>
    <w:rsid w:val="001C1E25"/>
    <w:rsid w:val="001D4728"/>
    <w:rsid w:val="001E2C84"/>
    <w:rsid w:val="001E7900"/>
    <w:rsid w:val="00202D01"/>
    <w:rsid w:val="0022370F"/>
    <w:rsid w:val="00231872"/>
    <w:rsid w:val="00256D7A"/>
    <w:rsid w:val="0026194E"/>
    <w:rsid w:val="00296A26"/>
    <w:rsid w:val="002C7004"/>
    <w:rsid w:val="002D394E"/>
    <w:rsid w:val="002F5137"/>
    <w:rsid w:val="0037420D"/>
    <w:rsid w:val="0037510A"/>
    <w:rsid w:val="00376336"/>
    <w:rsid w:val="0037676C"/>
    <w:rsid w:val="003A3305"/>
    <w:rsid w:val="003D1B94"/>
    <w:rsid w:val="003D1F92"/>
    <w:rsid w:val="003E04CD"/>
    <w:rsid w:val="00445749"/>
    <w:rsid w:val="004523C3"/>
    <w:rsid w:val="005172CD"/>
    <w:rsid w:val="00523783"/>
    <w:rsid w:val="00570A6D"/>
    <w:rsid w:val="00585DB2"/>
    <w:rsid w:val="005A5EB9"/>
    <w:rsid w:val="005B43AC"/>
    <w:rsid w:val="005C687C"/>
    <w:rsid w:val="005F7A2F"/>
    <w:rsid w:val="00633D14"/>
    <w:rsid w:val="0069056D"/>
    <w:rsid w:val="006B3304"/>
    <w:rsid w:val="006C784F"/>
    <w:rsid w:val="00732BC5"/>
    <w:rsid w:val="00763FC5"/>
    <w:rsid w:val="007737CB"/>
    <w:rsid w:val="00794078"/>
    <w:rsid w:val="007A12CA"/>
    <w:rsid w:val="007E13EC"/>
    <w:rsid w:val="007F51D9"/>
    <w:rsid w:val="007F5D67"/>
    <w:rsid w:val="00803FEE"/>
    <w:rsid w:val="008259BE"/>
    <w:rsid w:val="00854109"/>
    <w:rsid w:val="00880A3F"/>
    <w:rsid w:val="00880F7A"/>
    <w:rsid w:val="008A0BEA"/>
    <w:rsid w:val="008A7DA1"/>
    <w:rsid w:val="0092457C"/>
    <w:rsid w:val="0095350E"/>
    <w:rsid w:val="00966ADD"/>
    <w:rsid w:val="009B1C39"/>
    <w:rsid w:val="009B3F80"/>
    <w:rsid w:val="009B75A4"/>
    <w:rsid w:val="009C5F30"/>
    <w:rsid w:val="009E4F76"/>
    <w:rsid w:val="009E5D20"/>
    <w:rsid w:val="00A13EE7"/>
    <w:rsid w:val="00A25B6D"/>
    <w:rsid w:val="00A363E3"/>
    <w:rsid w:val="00A41706"/>
    <w:rsid w:val="00A54128"/>
    <w:rsid w:val="00A91C30"/>
    <w:rsid w:val="00AD0DDD"/>
    <w:rsid w:val="00AF0A25"/>
    <w:rsid w:val="00B147CD"/>
    <w:rsid w:val="00B378A9"/>
    <w:rsid w:val="00B4343E"/>
    <w:rsid w:val="00B5596D"/>
    <w:rsid w:val="00B73828"/>
    <w:rsid w:val="00BB3D43"/>
    <w:rsid w:val="00BC147F"/>
    <w:rsid w:val="00BF7BDE"/>
    <w:rsid w:val="00C16B8B"/>
    <w:rsid w:val="00C55133"/>
    <w:rsid w:val="00C57894"/>
    <w:rsid w:val="00C769F1"/>
    <w:rsid w:val="00C92C3F"/>
    <w:rsid w:val="00CB787E"/>
    <w:rsid w:val="00CD11E0"/>
    <w:rsid w:val="00CE2F8D"/>
    <w:rsid w:val="00D00823"/>
    <w:rsid w:val="00D019FE"/>
    <w:rsid w:val="00D0356C"/>
    <w:rsid w:val="00D11249"/>
    <w:rsid w:val="00D11B6D"/>
    <w:rsid w:val="00D16465"/>
    <w:rsid w:val="00D17601"/>
    <w:rsid w:val="00D4260A"/>
    <w:rsid w:val="00D46527"/>
    <w:rsid w:val="00D8085C"/>
    <w:rsid w:val="00D85997"/>
    <w:rsid w:val="00DB3893"/>
    <w:rsid w:val="00DF3D26"/>
    <w:rsid w:val="00DF4287"/>
    <w:rsid w:val="00E100F5"/>
    <w:rsid w:val="00E17C9A"/>
    <w:rsid w:val="00E350CD"/>
    <w:rsid w:val="00E41038"/>
    <w:rsid w:val="00E5654B"/>
    <w:rsid w:val="00E823A9"/>
    <w:rsid w:val="00E86D7B"/>
    <w:rsid w:val="00EC725A"/>
    <w:rsid w:val="00EE59DC"/>
    <w:rsid w:val="00F0100E"/>
    <w:rsid w:val="00F22BEA"/>
    <w:rsid w:val="00F55DF1"/>
    <w:rsid w:val="00F913BE"/>
    <w:rsid w:val="00FB14D8"/>
    <w:rsid w:val="00FD3E15"/>
    <w:rsid w:val="52D021CC"/>
    <w:rsid w:val="7AC42F6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mbria" w:hAnsi="Cambria"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w:hAnsi="Cambria" w:eastAsia="MS Mincho" w:cs="Times New Roman"/>
      <w:sz w:val="24"/>
      <w:szCs w:val="24"/>
      <w:lang w:val="en-US" w:eastAsia="en-US"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6"/>
    <w:unhideWhenUsed/>
    <w:uiPriority w:val="99"/>
    <w:rPr>
      <w:b/>
      <w:bCs/>
    </w:rPr>
  </w:style>
  <w:style w:type="paragraph" w:styleId="3">
    <w:name w:val="annotation text"/>
    <w:basedOn w:val="1"/>
    <w:link w:val="15"/>
    <w:unhideWhenUsed/>
    <w:uiPriority w:val="99"/>
  </w:style>
  <w:style w:type="paragraph" w:styleId="4">
    <w:name w:val="Balloon Text"/>
    <w:basedOn w:val="1"/>
    <w:link w:val="17"/>
    <w:unhideWhenUsed/>
    <w:uiPriority w:val="99"/>
    <w:rPr>
      <w:sz w:val="18"/>
      <w:szCs w:val="18"/>
    </w:rPr>
  </w:style>
  <w:style w:type="paragraph" w:styleId="5">
    <w:name w:val="footer"/>
    <w:basedOn w:val="1"/>
    <w:link w:val="13"/>
    <w:unhideWhenUsed/>
    <w:uiPriority w:val="99"/>
    <w:pPr>
      <w:tabs>
        <w:tab w:val="center" w:pos="4153"/>
        <w:tab w:val="right" w:pos="8306"/>
      </w:tabs>
      <w:snapToGrid w:val="0"/>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uiPriority w:val="99"/>
    <w:rPr>
      <w:color w:val="0000FF"/>
      <w:u w:val="single"/>
    </w:rPr>
  </w:style>
  <w:style w:type="character" w:styleId="9">
    <w:name w:val="annotation reference"/>
    <w:basedOn w:val="7"/>
    <w:unhideWhenUsed/>
    <w:uiPriority w:val="99"/>
    <w:rPr>
      <w:sz w:val="21"/>
      <w:szCs w:val="21"/>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眉 Char"/>
    <w:link w:val="6"/>
    <w:uiPriority w:val="99"/>
    <w:rPr>
      <w:sz w:val="18"/>
      <w:szCs w:val="18"/>
    </w:rPr>
  </w:style>
  <w:style w:type="character" w:customStyle="1" w:styleId="13">
    <w:name w:val="页脚 Char"/>
    <w:link w:val="5"/>
    <w:uiPriority w:val="99"/>
    <w:rPr>
      <w:sz w:val="18"/>
      <w:szCs w:val="18"/>
    </w:rPr>
  </w:style>
  <w:style w:type="paragraph" w:customStyle="1" w:styleId="14">
    <w:name w:val="List Paragraph"/>
    <w:basedOn w:val="1"/>
    <w:qFormat/>
    <w:uiPriority w:val="34"/>
    <w:pPr>
      <w:widowControl w:val="0"/>
      <w:ind w:firstLine="420" w:firstLineChars="200"/>
      <w:jc w:val="both"/>
    </w:pPr>
    <w:rPr>
      <w:rFonts w:ascii="Calibri" w:hAnsi="Calibri" w:eastAsia="宋体"/>
      <w:kern w:val="2"/>
      <w:sz w:val="21"/>
      <w:szCs w:val="22"/>
      <w:lang w:eastAsia="zh-CN"/>
    </w:rPr>
  </w:style>
  <w:style w:type="character" w:customStyle="1" w:styleId="15">
    <w:name w:val="批注文字 Char"/>
    <w:basedOn w:val="7"/>
    <w:link w:val="3"/>
    <w:semiHidden/>
    <w:uiPriority w:val="99"/>
    <w:rPr>
      <w:sz w:val="24"/>
      <w:szCs w:val="24"/>
      <w:lang w:eastAsia="en-US"/>
    </w:rPr>
  </w:style>
  <w:style w:type="character" w:customStyle="1" w:styleId="16">
    <w:name w:val="批注主题 Char"/>
    <w:basedOn w:val="15"/>
    <w:link w:val="2"/>
    <w:semiHidden/>
    <w:uiPriority w:val="99"/>
    <w:rPr>
      <w:b/>
      <w:bCs/>
      <w:sz w:val="24"/>
      <w:szCs w:val="24"/>
      <w:lang w:eastAsia="en-US"/>
    </w:rPr>
  </w:style>
  <w:style w:type="character" w:customStyle="1" w:styleId="17">
    <w:name w:val="批注框文本 Char"/>
    <w:basedOn w:val="7"/>
    <w:link w:val="4"/>
    <w:semiHidden/>
    <w:qFormat/>
    <w:uiPriority w:val="99"/>
    <w:rPr>
      <w:sz w:val="18"/>
      <w:szCs w:val="18"/>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403</Words>
  <Characters>2303</Characters>
  <Lines>19</Lines>
  <Paragraphs>5</Paragraphs>
  <ScaleCrop>false</ScaleCrop>
  <LinksUpToDate>false</LinksUpToDate>
  <CharactersWithSpaces>2701</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2017-09-14T02:05:00Z</dcterms:created>
  <dc:creator>Chunguang Cai</dc:creator>
  <cp:lastModifiedBy>wangml</cp:lastModifiedBy>
  <cp:lastPrinted>2016-03-14T08:43:00Z</cp:lastPrinted>
  <dcterms:modified xsi:type="dcterms:W3CDTF">2017-10-10T07:48:02Z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